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:rsidTr="006A1080"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Unit Title: </w:t>
            </w:r>
            <w:r w:rsidR="00AF6079" w:rsidRPr="00AF6079">
              <w:rPr>
                <w:rFonts w:ascii="Arial" w:hAnsi="Arial" w:cs="Arial"/>
              </w:rPr>
              <w:t>Principles for leading the transition of young people with complex disabilities or conditions to adult services</w:t>
            </w: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3E4C24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 </w:t>
            </w:r>
            <w:bookmarkStart w:id="0" w:name="_GoBack"/>
            <w:r w:rsidR="00AF6079" w:rsidRPr="00AF6079">
              <w:rPr>
                <w:rFonts w:ascii="Arial" w:hAnsi="Arial" w:cs="Arial"/>
              </w:rPr>
              <w:t>A/506/7568</w:t>
            </w:r>
            <w:bookmarkEnd w:id="0"/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AF6079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  <w:tr w:rsidR="003732FB" w:rsidRPr="004B031B" w:rsidTr="006A108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Level: </w:t>
            </w:r>
            <w:r w:rsidR="00AF6079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</w:rPr>
            </w:pPr>
          </w:p>
        </w:tc>
      </w:tr>
    </w:tbl>
    <w:p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:rsidTr="006A1080">
        <w:tc>
          <w:tcPr>
            <w:tcW w:w="2775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732FB" w:rsidRPr="004B031B" w:rsidRDefault="003732FB" w:rsidP="006A10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3732FB" w:rsidRPr="004B031B" w:rsidRDefault="003732FB" w:rsidP="006A108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4B031B" w:rsidRDefault="003732FB" w:rsidP="00AF6079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AF6079" w:rsidRPr="00AF6079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theoretical, statutory and legal frameworks in relation to young people making the transition to adult services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AF6079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AF6079" w:rsidRPr="00AF6079">
              <w:rPr>
                <w:rStyle w:val="tablebodyrichtextcell"/>
                <w:rFonts w:ascii="Arial" w:hAnsi="Arial" w:cs="Arial"/>
                <w:sz w:val="20"/>
                <w:szCs w:val="20"/>
              </w:rPr>
              <w:t>Explain the statutory and legal frameworks that apply to young people making the transition to adult services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F6079" w:rsidRPr="004B031B" w:rsidTr="006A1080">
        <w:tc>
          <w:tcPr>
            <w:tcW w:w="2775" w:type="dxa"/>
            <w:shd w:val="clear" w:color="auto" w:fill="auto"/>
          </w:tcPr>
          <w:p w:rsidR="00AF6079" w:rsidRPr="004B031B" w:rsidRDefault="00AF6079" w:rsidP="00AF607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1.2 </w:t>
            </w:r>
            <w:r w:rsidRPr="00AF6079">
              <w:rPr>
                <w:rStyle w:val="tablebodyrichtextcell"/>
                <w:rFonts w:ascii="Arial" w:hAnsi="Arial" w:cs="Arial"/>
                <w:sz w:val="20"/>
                <w:szCs w:val="20"/>
              </w:rPr>
              <w:t>Summarise legislation that affects the rights of young people with complex disabilities or conditions to make decisions about their lives</w:t>
            </w:r>
          </w:p>
        </w:tc>
        <w:tc>
          <w:tcPr>
            <w:tcW w:w="2570" w:type="dxa"/>
            <w:shd w:val="clear" w:color="auto" w:fill="auto"/>
          </w:tcPr>
          <w:p w:rsidR="00AF6079" w:rsidRPr="004B031B" w:rsidRDefault="00AF6079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AF6079" w:rsidRPr="004B031B" w:rsidRDefault="00AF6079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AF6079" w:rsidRPr="004B031B" w:rsidRDefault="00AF6079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F6079" w:rsidRPr="004B031B" w:rsidTr="006A1080">
        <w:tc>
          <w:tcPr>
            <w:tcW w:w="2775" w:type="dxa"/>
            <w:shd w:val="clear" w:color="auto" w:fill="auto"/>
          </w:tcPr>
          <w:p w:rsidR="00AF6079" w:rsidRPr="004B031B" w:rsidRDefault="00AF6079" w:rsidP="00AF6079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1.3 </w:t>
            </w:r>
            <w:r w:rsidRPr="00AF6079">
              <w:rPr>
                <w:rStyle w:val="tablebodyrichtextcell"/>
                <w:rFonts w:ascii="Arial" w:hAnsi="Arial" w:cs="Arial"/>
                <w:sz w:val="20"/>
                <w:szCs w:val="20"/>
              </w:rPr>
              <w:t>Evaluate how theories of change management can be applied to support the transition to adult services</w:t>
            </w:r>
          </w:p>
        </w:tc>
        <w:tc>
          <w:tcPr>
            <w:tcW w:w="2570" w:type="dxa"/>
            <w:shd w:val="clear" w:color="auto" w:fill="auto"/>
          </w:tcPr>
          <w:p w:rsidR="00AF6079" w:rsidRPr="004B031B" w:rsidRDefault="00AF6079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:rsidR="00AF6079" w:rsidRPr="004B031B" w:rsidRDefault="00AF6079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:rsidR="00AF6079" w:rsidRPr="004B031B" w:rsidRDefault="00AF6079" w:rsidP="006A1080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1437D4" w:rsidRDefault="003732FB" w:rsidP="00AF6079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AF6079" w:rsidRPr="00AF6079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the impact of complex disabilities or conditions on the transition into adulthood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AF6079" w:rsidRDefault="003732FB" w:rsidP="00AF6079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AF6079" w:rsidRPr="00AF6079">
              <w:rPr>
                <w:rStyle w:val="tablebodyrichtextcell"/>
                <w:rFonts w:ascii="Arial" w:hAnsi="Arial" w:cs="Arial"/>
                <w:sz w:val="20"/>
                <w:szCs w:val="20"/>
              </w:rPr>
              <w:t>Analyse ways in which complex disabilities or conditions can affect the transition into adulthood for young people and their families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AF607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AF6079" w:rsidRPr="00AF6079">
              <w:rPr>
                <w:rStyle w:val="tablebodyrichtextcell"/>
                <w:rFonts w:ascii="Arial" w:hAnsi="Arial" w:cs="Arial"/>
                <w:sz w:val="20"/>
                <w:szCs w:val="20"/>
              </w:rPr>
              <w:t>Analyse factors that affect a young person’s capacity to manage transitions and changes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3732FB" w:rsidP="00AF6079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2.3 </w:t>
            </w:r>
            <w:r w:rsidR="00AF6079" w:rsidRPr="00AF6079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cultural considerations can impact on the process of moving from childhood into adulthood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AF6079" w:rsidRDefault="00AF6079"/>
    <w:p w:rsidR="00AF6079" w:rsidRDefault="00AF6079"/>
    <w:p w:rsidR="00AF6079" w:rsidRDefault="00AF6079"/>
    <w:p w:rsidR="00AF6079" w:rsidRDefault="00AF6079"/>
    <w:p w:rsidR="00AF6079" w:rsidRDefault="00AF6079"/>
    <w:p w:rsidR="00AF6079" w:rsidRDefault="00AF6079"/>
    <w:p w:rsidR="00AF6079" w:rsidRDefault="00AF6079"/>
    <w:p w:rsidR="00AF6079" w:rsidRDefault="00AF60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AF6079" w:rsidRPr="004B031B" w:rsidTr="00C030BF">
        <w:tc>
          <w:tcPr>
            <w:tcW w:w="2775" w:type="dxa"/>
            <w:shd w:val="clear" w:color="auto" w:fill="A6A6A6"/>
            <w:vAlign w:val="center"/>
          </w:tcPr>
          <w:p w:rsidR="00AF6079" w:rsidRPr="004B031B" w:rsidRDefault="00AF6079" w:rsidP="00C030B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F6079" w:rsidRPr="004B031B" w:rsidRDefault="00AF6079" w:rsidP="00C030B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AF6079" w:rsidRPr="004B031B" w:rsidRDefault="00AF6079" w:rsidP="00C030B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AF6079" w:rsidRPr="004B031B" w:rsidRDefault="00AF6079" w:rsidP="00C030B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AF6079" w:rsidRPr="004B031B" w:rsidRDefault="00AF6079" w:rsidP="00C030BF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AF6079" w:rsidRPr="004B031B" w:rsidRDefault="00AF6079" w:rsidP="00C030B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AF6079" w:rsidRPr="004B031B" w:rsidRDefault="00AF6079" w:rsidP="00C030BF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:rsidTr="006A1080">
        <w:tc>
          <w:tcPr>
            <w:tcW w:w="9182" w:type="dxa"/>
            <w:gridSpan w:val="4"/>
            <w:shd w:val="clear" w:color="auto" w:fill="auto"/>
          </w:tcPr>
          <w:p w:rsidR="003732FB" w:rsidRPr="00AF6079" w:rsidRDefault="003732FB" w:rsidP="00AF6079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AF6079" w:rsidRPr="00AF6079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adult care provision</w:t>
            </w: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1437D4" w:rsidRDefault="00D9055F" w:rsidP="00AF6079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F6079" w:rsidRPr="00AF6079">
              <w:rPr>
                <w:rStyle w:val="tablebodyrichtextcell"/>
                <w:rFonts w:ascii="Arial" w:hAnsi="Arial" w:cs="Arial"/>
                <w:sz w:val="20"/>
                <w:szCs w:val="20"/>
              </w:rPr>
              <w:t>Identify the adult care services that potentially meet the requirements of a young person preparing to make the transition to adult services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:rsidTr="006A1080">
        <w:tc>
          <w:tcPr>
            <w:tcW w:w="2775" w:type="dxa"/>
            <w:shd w:val="clear" w:color="auto" w:fill="auto"/>
          </w:tcPr>
          <w:p w:rsidR="003732FB" w:rsidRPr="004B031B" w:rsidRDefault="00D9055F" w:rsidP="003E4C24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1437D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A4F97" w:rsidRP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>Identify funding sources, eligibility criteria and</w:t>
            </w:r>
            <w:r w:rsid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application processes for each</w:t>
            </w:r>
          </w:p>
        </w:tc>
        <w:tc>
          <w:tcPr>
            <w:tcW w:w="257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3732FB" w:rsidRPr="004B031B" w:rsidRDefault="003732FB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7D4" w:rsidRPr="004B031B" w:rsidTr="006A1080">
        <w:tc>
          <w:tcPr>
            <w:tcW w:w="2775" w:type="dxa"/>
            <w:shd w:val="clear" w:color="auto" w:fill="auto"/>
          </w:tcPr>
          <w:p w:rsidR="001437D4" w:rsidRPr="004B031B" w:rsidRDefault="001437D4" w:rsidP="000A4F9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3.3 </w:t>
            </w:r>
            <w:r w:rsidR="000A4F97" w:rsidRP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>Evaluate how personal budgets support the transition to adult services</w:t>
            </w:r>
          </w:p>
        </w:tc>
        <w:tc>
          <w:tcPr>
            <w:tcW w:w="257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1437D4" w:rsidRPr="004B031B" w:rsidRDefault="001437D4" w:rsidP="006A1080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812DE" w:rsidRPr="004B031B" w:rsidTr="00E3655D">
        <w:tc>
          <w:tcPr>
            <w:tcW w:w="9182" w:type="dxa"/>
            <w:gridSpan w:val="4"/>
            <w:shd w:val="clear" w:color="auto" w:fill="auto"/>
          </w:tcPr>
          <w:p w:rsidR="00E812DE" w:rsidRPr="00E812DE" w:rsidRDefault="00E812DE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E812DE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812DE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to work with others to support young people making the transition to adult services</w:t>
            </w:r>
          </w:p>
        </w:tc>
      </w:tr>
      <w:tr w:rsidR="00AF6079" w:rsidRPr="004B031B" w:rsidTr="006A1080">
        <w:tc>
          <w:tcPr>
            <w:tcW w:w="2775" w:type="dxa"/>
            <w:shd w:val="clear" w:color="auto" w:fill="auto"/>
          </w:tcPr>
          <w:p w:rsidR="00AF6079" w:rsidRDefault="00AF6079" w:rsidP="00E812D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4.1</w:t>
            </w:r>
            <w:r w:rsidR="00E812D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812DE" w:rsidRPr="00E812DE">
              <w:rPr>
                <w:rStyle w:val="tablebodyrichtextcell"/>
                <w:rFonts w:ascii="Arial" w:hAnsi="Arial" w:cs="Arial"/>
                <w:sz w:val="20"/>
                <w:szCs w:val="20"/>
              </w:rPr>
              <w:t>Describe knowledge, skills and attitudes required by team members to support the transition process</w:t>
            </w:r>
          </w:p>
        </w:tc>
        <w:tc>
          <w:tcPr>
            <w:tcW w:w="257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F6079" w:rsidRPr="004B031B" w:rsidTr="006A1080">
        <w:tc>
          <w:tcPr>
            <w:tcW w:w="2775" w:type="dxa"/>
            <w:shd w:val="clear" w:color="auto" w:fill="auto"/>
          </w:tcPr>
          <w:p w:rsidR="00AF6079" w:rsidRDefault="00AF6079" w:rsidP="00E812DE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4.2</w:t>
            </w:r>
            <w:r w:rsidR="00E812D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E812DE" w:rsidRPr="00E812DE">
              <w:rPr>
                <w:rStyle w:val="tablebodyrichtextcell"/>
                <w:rFonts w:ascii="Arial" w:hAnsi="Arial" w:cs="Arial"/>
                <w:sz w:val="20"/>
                <w:szCs w:val="20"/>
              </w:rPr>
              <w:t>Analyse the role and contribution of family members in the transition process</w:t>
            </w:r>
          </w:p>
        </w:tc>
        <w:tc>
          <w:tcPr>
            <w:tcW w:w="257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F6079" w:rsidRPr="004B031B" w:rsidTr="006A1080">
        <w:tc>
          <w:tcPr>
            <w:tcW w:w="2775" w:type="dxa"/>
            <w:shd w:val="clear" w:color="auto" w:fill="auto"/>
          </w:tcPr>
          <w:p w:rsidR="00AF6079" w:rsidRDefault="00AF6079" w:rsidP="000A4F9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4.3</w:t>
            </w:r>
            <w:r w:rsid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A4F97" w:rsidRP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>Describe the network of local agencies and professionals who can contribute information, advice or support for young people making the transition to adult services</w:t>
            </w:r>
          </w:p>
        </w:tc>
        <w:tc>
          <w:tcPr>
            <w:tcW w:w="257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F6079" w:rsidRPr="004B031B" w:rsidTr="006A1080">
        <w:tc>
          <w:tcPr>
            <w:tcW w:w="2775" w:type="dxa"/>
            <w:shd w:val="clear" w:color="auto" w:fill="auto"/>
          </w:tcPr>
          <w:p w:rsidR="00AF6079" w:rsidRDefault="00AF6079" w:rsidP="000A4F9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4.4</w:t>
            </w:r>
            <w:r w:rsid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A4F97" w:rsidRP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working together with family members, agencies and other professionals affects continuity of support for young people before, during and after the transition</w:t>
            </w:r>
          </w:p>
        </w:tc>
        <w:tc>
          <w:tcPr>
            <w:tcW w:w="257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812DE" w:rsidRPr="004B031B" w:rsidTr="00C92B91">
        <w:tc>
          <w:tcPr>
            <w:tcW w:w="9182" w:type="dxa"/>
            <w:gridSpan w:val="4"/>
            <w:shd w:val="clear" w:color="auto" w:fill="auto"/>
          </w:tcPr>
          <w:p w:rsidR="00E812DE" w:rsidRPr="000A4F97" w:rsidRDefault="00E812DE" w:rsidP="000A4F97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E812DE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5</w:t>
            </w:r>
            <w:r w:rsidR="000A4F9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A4F97" w:rsidRPr="000A4F9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person centred support for transition to adult services</w:t>
            </w:r>
          </w:p>
        </w:tc>
      </w:tr>
      <w:tr w:rsidR="00AF6079" w:rsidRPr="004B031B" w:rsidTr="006A1080">
        <w:tc>
          <w:tcPr>
            <w:tcW w:w="2775" w:type="dxa"/>
            <w:shd w:val="clear" w:color="auto" w:fill="auto"/>
          </w:tcPr>
          <w:p w:rsidR="00AF6079" w:rsidRDefault="00AF6079" w:rsidP="000A4F9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5.1</w:t>
            </w:r>
            <w:r w:rsid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A4F97" w:rsidRP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>Evaluate systems, aids and approaches that enable young people with complex disabilities or conditions to express their views, choices and perceptions about the transition to adult services</w:t>
            </w:r>
          </w:p>
        </w:tc>
        <w:tc>
          <w:tcPr>
            <w:tcW w:w="257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A4F97" w:rsidRDefault="000A4F97"/>
    <w:p w:rsidR="000A4F97" w:rsidRDefault="000A4F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0A4F97" w:rsidRPr="004B031B" w:rsidTr="00C030BF">
        <w:tc>
          <w:tcPr>
            <w:tcW w:w="2775" w:type="dxa"/>
            <w:shd w:val="clear" w:color="auto" w:fill="A6A6A6"/>
            <w:vAlign w:val="center"/>
          </w:tcPr>
          <w:p w:rsidR="000A4F97" w:rsidRPr="004B031B" w:rsidRDefault="000A4F97" w:rsidP="00C030B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A4F97" w:rsidRPr="004B031B" w:rsidRDefault="000A4F97" w:rsidP="00C030B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:rsidR="000A4F97" w:rsidRPr="004B031B" w:rsidRDefault="000A4F97" w:rsidP="00C030B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:rsidR="000A4F97" w:rsidRPr="004B031B" w:rsidRDefault="000A4F97" w:rsidP="00C030B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:rsidR="000A4F97" w:rsidRPr="004B031B" w:rsidRDefault="000A4F97" w:rsidP="00C030BF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:rsidR="000A4F97" w:rsidRPr="004B031B" w:rsidRDefault="000A4F97" w:rsidP="00C030BF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:rsidR="000A4F97" w:rsidRPr="004B031B" w:rsidRDefault="000A4F97" w:rsidP="00C030BF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AF6079" w:rsidRPr="004B031B" w:rsidTr="006A1080">
        <w:tc>
          <w:tcPr>
            <w:tcW w:w="2775" w:type="dxa"/>
            <w:shd w:val="clear" w:color="auto" w:fill="auto"/>
          </w:tcPr>
          <w:p w:rsidR="00AF6079" w:rsidRDefault="00AF6079" w:rsidP="000A4F9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5.2</w:t>
            </w:r>
            <w:r w:rsid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A4F97" w:rsidRP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>Evaluate the place of person-centred thinking in ensuring that planning processes keep young people and their needs, views and choices paramount</w:t>
            </w:r>
          </w:p>
        </w:tc>
        <w:tc>
          <w:tcPr>
            <w:tcW w:w="257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F6079" w:rsidRPr="004B031B" w:rsidTr="006A1080">
        <w:tc>
          <w:tcPr>
            <w:tcW w:w="2775" w:type="dxa"/>
            <w:shd w:val="clear" w:color="auto" w:fill="auto"/>
          </w:tcPr>
          <w:p w:rsidR="00AF6079" w:rsidRDefault="00AF6079" w:rsidP="000A4F9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5.3</w:t>
            </w:r>
            <w:r w:rsid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A4F97" w:rsidRP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>Describe processes needed to secure additional support to meet the individual requirements of young people</w:t>
            </w:r>
          </w:p>
        </w:tc>
        <w:tc>
          <w:tcPr>
            <w:tcW w:w="257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F6079" w:rsidRPr="004B031B" w:rsidTr="006A1080">
        <w:tc>
          <w:tcPr>
            <w:tcW w:w="2775" w:type="dxa"/>
            <w:shd w:val="clear" w:color="auto" w:fill="auto"/>
          </w:tcPr>
          <w:p w:rsidR="00AF6079" w:rsidRDefault="00AF6079" w:rsidP="000A4F9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5.4</w:t>
            </w:r>
            <w:r w:rsid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A4F97" w:rsidRP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>Describe how to challenge poor practice in transition support in ways that stimulate improvement</w:t>
            </w:r>
          </w:p>
        </w:tc>
        <w:tc>
          <w:tcPr>
            <w:tcW w:w="257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E812DE" w:rsidRPr="004B031B" w:rsidTr="008626EE">
        <w:tc>
          <w:tcPr>
            <w:tcW w:w="9182" w:type="dxa"/>
            <w:gridSpan w:val="4"/>
            <w:shd w:val="clear" w:color="auto" w:fill="auto"/>
          </w:tcPr>
          <w:p w:rsidR="00E812DE" w:rsidRPr="000A4F97" w:rsidRDefault="00E812DE" w:rsidP="000A4F97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E812DE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6</w:t>
            </w:r>
            <w:r w:rsidR="000A4F9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A4F97" w:rsidRPr="000A4F9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Understand how to review support in relation to young people making the transition to adult services</w:t>
            </w:r>
          </w:p>
        </w:tc>
      </w:tr>
      <w:tr w:rsidR="00AF6079" w:rsidRPr="004B031B" w:rsidTr="006A1080">
        <w:tc>
          <w:tcPr>
            <w:tcW w:w="2775" w:type="dxa"/>
            <w:shd w:val="clear" w:color="auto" w:fill="auto"/>
          </w:tcPr>
          <w:p w:rsidR="00AF6079" w:rsidRDefault="00AF6079" w:rsidP="000A4F9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6.1</w:t>
            </w:r>
            <w:r w:rsid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A4F97" w:rsidRP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>Explain how statutory and legal frameworks for transition to adult services can be used to review the effectiveness of support provided to young people and their families during the transition</w:t>
            </w:r>
          </w:p>
        </w:tc>
        <w:tc>
          <w:tcPr>
            <w:tcW w:w="257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F6079" w:rsidRPr="004B031B" w:rsidTr="006A1080">
        <w:tc>
          <w:tcPr>
            <w:tcW w:w="2775" w:type="dxa"/>
            <w:shd w:val="clear" w:color="auto" w:fill="auto"/>
          </w:tcPr>
          <w:p w:rsidR="00AF6079" w:rsidRDefault="00AF6079" w:rsidP="000A4F9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6.2</w:t>
            </w:r>
            <w:r w:rsid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A4F97" w:rsidRP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>Describe ways to evaluate the balance achieved between the interests of young people, risks and legal requirements during transition</w:t>
            </w:r>
          </w:p>
        </w:tc>
        <w:tc>
          <w:tcPr>
            <w:tcW w:w="257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F6079" w:rsidRPr="004B031B" w:rsidTr="006A1080">
        <w:tc>
          <w:tcPr>
            <w:tcW w:w="2775" w:type="dxa"/>
            <w:shd w:val="clear" w:color="auto" w:fill="auto"/>
          </w:tcPr>
          <w:p w:rsidR="00AF6079" w:rsidRDefault="00AF6079" w:rsidP="000A4F97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6.3</w:t>
            </w:r>
            <w:r w:rsid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A4F97" w:rsidRPr="000A4F97">
              <w:rPr>
                <w:rStyle w:val="tablebodyrichtextcell"/>
                <w:rFonts w:ascii="Arial" w:hAnsi="Arial" w:cs="Arial"/>
                <w:sz w:val="20"/>
                <w:szCs w:val="20"/>
              </w:rPr>
              <w:t>Describe ways to review the effectiveness of information, guidance and support services available to support the transition to adult services</w:t>
            </w:r>
          </w:p>
        </w:tc>
        <w:tc>
          <w:tcPr>
            <w:tcW w:w="257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:rsidR="00AF6079" w:rsidRPr="004B031B" w:rsidRDefault="00AF6079" w:rsidP="00E812DE">
            <w:pPr>
              <w:spacing w:after="1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2501F" w:rsidRDefault="0002501F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A4F97" w:rsidRDefault="000A4F97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A4F97" w:rsidRDefault="000A4F97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A4F97" w:rsidRDefault="000A4F97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A4F97" w:rsidRDefault="000A4F97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A4F97" w:rsidRDefault="000A4F97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A4F97" w:rsidRDefault="000A4F97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A4F97" w:rsidRDefault="000A4F97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A4F97" w:rsidRDefault="000A4F97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.1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732FB" w:rsidRPr="007E3544" w:rsidRDefault="003732FB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:rsidR="003732FB" w:rsidRDefault="003732FB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1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">
                <v:textbox>
                  <w:txbxContent>
                    <w:p w:rsidR="003732FB" w:rsidRDefault="003732FB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732FB" w:rsidRPr="007E3544" w:rsidRDefault="003732FB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:rsidR="003732FB" w:rsidRDefault="003732FB" w:rsidP="003732FB"/>
                  </w:txbxContent>
                </v:textbox>
              </v:shape>
            </w:pict>
          </mc:Fallback>
        </mc:AlternateContent>
      </w: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:rsidR="00011E67" w:rsidRPr="003732FB" w:rsidRDefault="000A4F97" w:rsidP="003732FB"/>
    <w:sectPr w:rsidR="00011E67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GRounded">
    <w:altName w:val="Californian FB"/>
    <w:panose1 w:val="02000303000000000000"/>
    <w:charset w:val="00"/>
    <w:family w:val="auto"/>
    <w:pitch w:val="variable"/>
    <w:sig w:usb0="800000AF" w:usb1="40000048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0A4F97"/>
    <w:rsid w:val="001437D4"/>
    <w:rsid w:val="00274793"/>
    <w:rsid w:val="00347F61"/>
    <w:rsid w:val="003732FB"/>
    <w:rsid w:val="003E4C24"/>
    <w:rsid w:val="004B031B"/>
    <w:rsid w:val="005D7794"/>
    <w:rsid w:val="0065257C"/>
    <w:rsid w:val="007E5004"/>
    <w:rsid w:val="009428B0"/>
    <w:rsid w:val="0097097B"/>
    <w:rsid w:val="00AF6079"/>
    <w:rsid w:val="00D9055F"/>
    <w:rsid w:val="00E812DE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Charlotte Speight</cp:lastModifiedBy>
  <cp:revision>2</cp:revision>
  <dcterms:created xsi:type="dcterms:W3CDTF">2014-11-27T14:08:00Z</dcterms:created>
  <dcterms:modified xsi:type="dcterms:W3CDTF">2014-11-27T14:08:00Z</dcterms:modified>
</cp:coreProperties>
</file>